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E90375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3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 (วว.)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344D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E90375">
        <w:rPr>
          <w:rFonts w:ascii="TH SarabunPSK" w:eastAsia="Times New Roman" w:hAnsi="TH SarabunPSK" w:cs="TH SarabunPSK" w:hint="cs"/>
          <w:i/>
          <w:iCs/>
          <w:sz w:val="28"/>
          <w:cs/>
        </w:rPr>
        <w:t>วว.</w:t>
      </w:r>
      <w:bookmarkStart w:id="0" w:name="_GoBack"/>
      <w:bookmarkEnd w:id="0"/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E90375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75" w:rsidRPr="00DE485B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75" w:rsidRDefault="00E90375" w:rsidP="00E903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ปรับปรุงโครงสร้างพื้นฐานเพื่อรองรับการปฏิบัติงานด้านดิจิทัล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5" w:rsidRDefault="00E90375" w:rsidP="00E903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•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การยื่นขอการรับรองมาตรฐาน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ISO 27001:2013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•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กฎระเบียบด้านดิจิทัล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•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จัดทำแบบสถาปัตยกรรมองค์กร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EA)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•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พัฒนาโครงสร้างพื้นฐาน รองรับการให้บริการอิเล็กทรอนิกส์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75" w:rsidRDefault="00E90375" w:rsidP="00E903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17.1400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75" w:rsidRPr="00561FF0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75" w:rsidRPr="00561FF0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E90375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E90375" w:rsidRDefault="00E90375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90375" w:rsidRDefault="00E90375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90375" w:rsidRDefault="00E90375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90375" w:rsidRDefault="00E90375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E90375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E90375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E90375" w:rsidRPr="00E30FB2" w:rsidTr="00E90375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75" w:rsidRPr="00DE485B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75" w:rsidRDefault="00E90375" w:rsidP="00E9037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ส่งเสริมบุคลากรให้มีทักษะความรู้ ความเข้าใจเทคโนโลยีดิจิทัล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5" w:rsidRDefault="00E90375" w:rsidP="00E903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75" w:rsidRDefault="00E90375" w:rsidP="00E903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0.8000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5" w:rsidRPr="009A7431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9A7431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E90375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E90375" w:rsidP="00E90375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E90375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E90375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E90375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75" w:rsidRPr="009A7431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75" w:rsidRDefault="00E90375" w:rsidP="00E903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ระบบการเชื่อมโยงข้อมูลระหว่างหน่วยงานที่รองรับการเชื่อมโยง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5" w:rsidRDefault="00E90375" w:rsidP="00E903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การเชื่อมโยงข้อมูลระหว่างหน่วยงานอย่างน้อย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75" w:rsidRDefault="00E90375" w:rsidP="00E903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0.3000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75" w:rsidRPr="005F7445" w:rsidRDefault="00E90375" w:rsidP="00E903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  <w:tr w:rsidR="003A5B80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B80" w:rsidRPr="006F3B0F" w:rsidRDefault="003A5B80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80" w:rsidRPr="006F3B0F" w:rsidRDefault="003A5B80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0" w:rsidRPr="006F3B0F" w:rsidRDefault="003A5B80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B80" w:rsidRPr="006F3B0F" w:rsidRDefault="003A5B80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0" w:rsidRPr="006F3B0F" w:rsidRDefault="003A5B80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6F3B0F" w:rsidRDefault="003A5B80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6F3B0F" w:rsidRDefault="003A5B80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6F3B0F" w:rsidRDefault="003A5B80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6F3B0F" w:rsidRDefault="003A5B80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6F3B0F" w:rsidRDefault="003A5B80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6F3B0F" w:rsidRDefault="003A5B80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4178"/>
        <w:gridCol w:w="1277"/>
        <w:gridCol w:w="3142"/>
        <w:gridCol w:w="1801"/>
        <w:gridCol w:w="585"/>
        <w:gridCol w:w="566"/>
        <w:gridCol w:w="652"/>
      </w:tblGrid>
      <w:tr w:rsidR="009A7431" w:rsidRPr="00E30FB2" w:rsidTr="00850DE2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850DE2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850DE2" w:rsidRPr="00E30FB2" w:rsidTr="00850DE2">
        <w:trPr>
          <w:trHeight w:val="257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Pr="009A7431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ระบบดิจิทัลเพื่อกระบวนการวิจัย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ระบบการบริหารจัดการงานวิจัยพัฒนา วทน.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Default="00850DE2" w:rsidP="00850D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0.7000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850DE2" w:rsidRPr="00E30FB2" w:rsidTr="00850DE2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Pr="009A7431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ระบบดิจิทัลเพื่อกระบวนการบริหารการเงิน การคลัง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2" w:rsidRPr="00822F83" w:rsidRDefault="00850DE2" w:rsidP="00850D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2F83">
              <w:rPr>
                <w:rFonts w:ascii="TH SarabunPSK" w:hAnsi="TH SarabunPSK" w:cs="TH SarabunPSK"/>
                <w:color w:val="000000"/>
                <w:sz w:val="28"/>
              </w:rPr>
              <w:t xml:space="preserve">• </w:t>
            </w:r>
            <w:r w:rsidRPr="00822F83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การปรับปรุงระบบฐานข้อมูลสัญญาและการแจ้งเตือน</w:t>
            </w:r>
          </w:p>
          <w:p w:rsidR="00850DE2" w:rsidRPr="00822F83" w:rsidRDefault="00850DE2" w:rsidP="00850D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2F83">
              <w:rPr>
                <w:rFonts w:ascii="TH SarabunPSK" w:hAnsi="TH SarabunPSK" w:cs="TH SarabunPSK"/>
                <w:color w:val="000000"/>
                <w:sz w:val="28"/>
              </w:rPr>
              <w:t xml:space="preserve">• </w:t>
            </w:r>
            <w:r w:rsidRPr="00822F83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การปรับปรุงระบบงบประมาณเพื่อเพิ่มประสิทธิภาพการจัดการโครงการ วทน. (ค่าใช้จ่ายเงินประมาณการ)</w:t>
            </w:r>
          </w:p>
          <w:p w:rsidR="00850DE2" w:rsidRPr="00822F83" w:rsidRDefault="00850DE2" w:rsidP="00850D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2F83">
              <w:rPr>
                <w:rFonts w:ascii="TH SarabunPSK" w:hAnsi="TH SarabunPSK" w:cs="TH SarabunPSK"/>
                <w:color w:val="000000"/>
                <w:sz w:val="28"/>
              </w:rPr>
              <w:t>• SAP (</w:t>
            </w:r>
            <w:r w:rsidRPr="00822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ระบบเบิกจ่าย </w:t>
            </w:r>
            <w:r w:rsidRPr="00822F83">
              <w:rPr>
                <w:rFonts w:ascii="TH SarabunPSK" w:hAnsi="TH SarabunPSK" w:cs="TH SarabunPSK"/>
                <w:color w:val="000000"/>
                <w:sz w:val="28"/>
              </w:rPr>
              <w:t>Good Issue)</w:t>
            </w:r>
          </w:p>
          <w:p w:rsidR="00850DE2" w:rsidRDefault="00850DE2" w:rsidP="00850D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2F83">
              <w:rPr>
                <w:rFonts w:ascii="TH SarabunPSK" w:hAnsi="TH SarabunPSK" w:cs="TH SarabunPSK"/>
                <w:color w:val="000000"/>
                <w:sz w:val="28"/>
              </w:rPr>
              <w:t xml:space="preserve">• </w:t>
            </w:r>
            <w:r w:rsidRPr="00822F83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ปรับปรุงกระบวนเดินบัญชีหัก กยศ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Default="00850DE2" w:rsidP="00850D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3.9000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850DE2" w:rsidRPr="00E30FB2" w:rsidTr="00850DE2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Pr="009A7431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ระบบดิจิทัลเพื่อการถ่ายทอดองค์ความรู้ วทน.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จัดทำ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Mobile Application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เพื่อถ่ายทอดองค์ความรู้ด้าน วทน.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ของศูนย์เชี่ยวชาญ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Default="00850DE2" w:rsidP="00850D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0.1000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850DE2" w:rsidRPr="00E30FB2" w:rsidTr="00850DE2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Pr="009A7431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ระบบดิจิทัลเพื่อเพิ่มศักยภาพงานบริการอุตสาหกรรมของ วว.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จัดทำ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Mobile Application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เพื่อติดตามงานบริการ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Default="00850DE2" w:rsidP="00850D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0.1000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850DE2" w:rsidRPr="00E30FB2" w:rsidTr="00850DE2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Pr="009A7431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ระบบดิจิทัลเพื่อการบริหารและพัฒนาบุคลากร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HRIS)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2" w:rsidRDefault="00850DE2" w:rsidP="00850D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ปรับปรุงระบบ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HRIS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ที่สำคัญและมีผลกระทบต่อผู้ใช้งานอย่างน้อย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โมดูล (พัฒนาโดย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วว.)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Default="00850DE2" w:rsidP="00850D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850D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850DE2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850DE2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3A5B80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3A5B80" w:rsidRPr="00E30FB2" w:rsidTr="00850DE2">
        <w:trPr>
          <w:trHeight w:val="349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B80" w:rsidRPr="009A7431" w:rsidRDefault="003A5B80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80" w:rsidRDefault="003A5B80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0" w:rsidRPr="005F7445" w:rsidRDefault="003A5B80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B80" w:rsidRPr="005F7445" w:rsidRDefault="003A5B80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80" w:rsidRPr="005F7445" w:rsidRDefault="003A5B80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80" w:rsidRPr="005F7445" w:rsidRDefault="003A5B80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5F7445" w:rsidRDefault="003A5B80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5F7445" w:rsidRDefault="003A5B80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80" w:rsidRPr="005F7445" w:rsidRDefault="003A5B80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850DE2" w:rsidRPr="00E30FB2" w:rsidTr="00850DE2">
        <w:trPr>
          <w:trHeight w:val="349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Pr="009A7431" w:rsidRDefault="00850DE2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E2" w:rsidRDefault="00850DE2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DE2" w:rsidRPr="005F7445" w:rsidRDefault="00850DE2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E2" w:rsidRPr="005F7445" w:rsidRDefault="00850DE2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E2" w:rsidRPr="005F7445" w:rsidRDefault="00850DE2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2D3F7F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850DE2" w:rsidRPr="00373831" w:rsidTr="00F925A3">
        <w:trPr>
          <w:trHeight w:val="482"/>
        </w:trPr>
        <w:tc>
          <w:tcPr>
            <w:tcW w:w="704" w:type="dxa"/>
          </w:tcPr>
          <w:p w:rsidR="00850DE2" w:rsidRPr="00A547A8" w:rsidRDefault="00850DE2" w:rsidP="00850DE2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850DE2" w:rsidRPr="007C2AA7" w:rsidRDefault="00850DE2" w:rsidP="00850DE2">
            <w:pPr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  <w:cs/>
              </w:rPr>
              <w:t>ปรับปรุงโครงสร้างพื้นฐานเพื่อรองรับการปฏิบัติงานด้านดิจิทัล</w:t>
            </w:r>
          </w:p>
        </w:tc>
        <w:tc>
          <w:tcPr>
            <w:tcW w:w="850" w:type="dxa"/>
          </w:tcPr>
          <w:p w:rsidR="00850DE2" w:rsidRPr="007C2AA7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</w:rPr>
              <w:t>15.0000</w:t>
            </w:r>
          </w:p>
        </w:tc>
        <w:tc>
          <w:tcPr>
            <w:tcW w:w="851" w:type="dxa"/>
          </w:tcPr>
          <w:p w:rsidR="00850DE2" w:rsidRPr="007C2AA7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</w:rPr>
              <w:t>15.0000</w:t>
            </w:r>
          </w:p>
        </w:tc>
        <w:tc>
          <w:tcPr>
            <w:tcW w:w="850" w:type="dxa"/>
          </w:tcPr>
          <w:p w:rsidR="00850DE2" w:rsidRPr="007C2AA7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</w:rPr>
              <w:t>15.0000</w:t>
            </w:r>
          </w:p>
        </w:tc>
        <w:tc>
          <w:tcPr>
            <w:tcW w:w="2268" w:type="dxa"/>
          </w:tcPr>
          <w:p w:rsidR="00850DE2" w:rsidRPr="007C2AA7" w:rsidRDefault="002D3F7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การจัดรูปแบบข้อมูลขององค์กร</w:t>
            </w:r>
            <w:r w:rsidR="00850DE2" w:rsidRPr="007C2AA7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การเข้าใช้งานจากระยะไกลแบบเครือข่ายเสมือน</w:t>
            </w:r>
            <w:r w:rsidR="00850DE2" w:rsidRPr="007C2AA7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พัฒนาโครงสร้างพื้นฐาน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รองรับการให้บริการอิเล็กทรอนิกส์ค่าบำรุงรักษาอุปกรณ์</w:t>
            </w:r>
          </w:p>
        </w:tc>
        <w:tc>
          <w:tcPr>
            <w:tcW w:w="1843" w:type="dxa"/>
          </w:tcPr>
          <w:p w:rsidR="00850DE2" w:rsidRPr="007C2AA7" w:rsidRDefault="002D3F7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ระบบการสำรองข้อมูลอัตโนมัติ</w:t>
            </w:r>
            <w:r w:rsidR="00850DE2" w:rsidRPr="007C2AA7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พัฒนาโครงสร้างพื้นฐาน รองรับการให้บริการอิเล็กทรอนิกส์</w:t>
            </w:r>
            <w:r w:rsidR="00850DE2" w:rsidRPr="007C2AA7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ค่าบำรุงรักษาอุปกรณ์</w:t>
            </w:r>
          </w:p>
        </w:tc>
        <w:tc>
          <w:tcPr>
            <w:tcW w:w="2268" w:type="dxa"/>
          </w:tcPr>
          <w:p w:rsidR="00850DE2" w:rsidRPr="007C2AA7" w:rsidRDefault="002D3F7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ติดตั้งบริการ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Wifi</w:t>
            </w:r>
            <w:r w:rsidR="00850DE2" w:rsidRPr="007C2AA7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พัฒนาโครงสร้างพื้นฐาน รองรับการให้บริการอิเล็กทรอนิกส์</w:t>
            </w:r>
            <w:r w:rsidR="00850DE2" w:rsidRPr="007C2AA7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ค่าบำรุงรักษาอุปกรณ์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850DE2" w:rsidRPr="00373831" w:rsidRDefault="00850DE2" w:rsidP="00850DE2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850DE2" w:rsidRPr="00373831" w:rsidRDefault="00850DE2" w:rsidP="00850DE2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F925A3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850DE2" w:rsidRPr="00373831" w:rsidTr="00F925A3">
        <w:trPr>
          <w:trHeight w:val="398"/>
        </w:trPr>
        <w:tc>
          <w:tcPr>
            <w:tcW w:w="704" w:type="dxa"/>
          </w:tcPr>
          <w:p w:rsidR="00850DE2" w:rsidRPr="00A547A8" w:rsidRDefault="00850DE2" w:rsidP="00F925A3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850DE2" w:rsidRPr="00272514" w:rsidRDefault="00850DE2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850DE2" w:rsidRPr="00373831" w:rsidRDefault="00850DE2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835"/>
        <w:gridCol w:w="1843"/>
        <w:gridCol w:w="1701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2D3F7F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83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70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2D3F7F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2D3F7F">
              <w:rPr>
                <w:b/>
                <w:bCs/>
                <w:sz w:val="28"/>
                <w:szCs w:val="28"/>
              </w:rPr>
              <w:t xml:space="preserve">2 </w:t>
            </w:r>
            <w:r w:rsidRPr="002D3F7F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850DE2" w:rsidRPr="00373831" w:rsidTr="002D3F7F">
        <w:trPr>
          <w:trHeight w:val="1397"/>
        </w:trPr>
        <w:tc>
          <w:tcPr>
            <w:tcW w:w="704" w:type="dxa"/>
            <w:noWrap/>
            <w:hideMark/>
          </w:tcPr>
          <w:p w:rsidR="00850DE2" w:rsidRPr="00373831" w:rsidRDefault="00850DE2" w:rsidP="00850DE2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850DE2" w:rsidRPr="007C2AA7" w:rsidRDefault="00850DE2" w:rsidP="00850DE2">
            <w:pPr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  <w:cs/>
              </w:rPr>
              <w:t>ส่งเสริมบุคลากรให้มีทักษะความรู้ ความเข้าใจเทคโนโลยีดิจิทัล</w:t>
            </w:r>
          </w:p>
        </w:tc>
        <w:tc>
          <w:tcPr>
            <w:tcW w:w="850" w:type="dxa"/>
          </w:tcPr>
          <w:p w:rsidR="00850DE2" w:rsidRPr="007C2AA7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</w:rPr>
              <w:t>0.8000</w:t>
            </w:r>
          </w:p>
        </w:tc>
        <w:tc>
          <w:tcPr>
            <w:tcW w:w="851" w:type="dxa"/>
          </w:tcPr>
          <w:p w:rsidR="00850DE2" w:rsidRPr="007C2AA7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</w:rPr>
              <w:t>0.8000</w:t>
            </w:r>
          </w:p>
        </w:tc>
        <w:tc>
          <w:tcPr>
            <w:tcW w:w="850" w:type="dxa"/>
          </w:tcPr>
          <w:p w:rsidR="00850DE2" w:rsidRPr="007C2AA7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</w:rPr>
              <w:t>0.8000</w:t>
            </w:r>
          </w:p>
        </w:tc>
        <w:tc>
          <w:tcPr>
            <w:tcW w:w="2835" w:type="dxa"/>
          </w:tcPr>
          <w:p w:rsidR="00850DE2" w:rsidRPr="007C2AA7" w:rsidRDefault="002D3F7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 xml:space="preserve">ผู้บริหารระดับสูงได้เข้ารับการอบรมหลักสูตรภายนอกจำนวน </w:t>
            </w:r>
            <w:r w:rsidR="00850DE2">
              <w:rPr>
                <w:color w:val="000000"/>
                <w:sz w:val="28"/>
                <w:szCs w:val="28"/>
              </w:rPr>
              <w:t>1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 xml:space="preserve"> หลักสูตร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บุคลากรที่เข้ารับการอบรมทักษะการใช้ดิจิทัลของ วว.ไม่น้อยกว่าร้อยละ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20</w:t>
            </w:r>
            <w:r w:rsidR="00850DE2" w:rsidRPr="007C2AA7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>บุคลากรที่เข้ารับการสร้างความตระหนัก</w:t>
            </w:r>
            <w:r w:rsidR="00850DE2" w:rsidRPr="007C2AA7">
              <w:rPr>
                <w:color w:val="000000"/>
                <w:sz w:val="28"/>
                <w:szCs w:val="28"/>
              </w:rPr>
              <w:t xml:space="preserve">  ISO 27001:2013 </w:t>
            </w:r>
            <w:r w:rsidR="00850DE2" w:rsidRPr="007C2AA7">
              <w:rPr>
                <w:color w:val="000000"/>
                <w:sz w:val="28"/>
                <w:szCs w:val="28"/>
                <w:cs/>
              </w:rPr>
              <w:t xml:space="preserve">ไม่น้อยกว่าร้อยละ </w:t>
            </w:r>
            <w:r w:rsidR="00850DE2" w:rsidRPr="007C2AA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50DE2" w:rsidRPr="007C2AA7" w:rsidRDefault="00850DE2" w:rsidP="00850DE2">
            <w:pPr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  <w:cs/>
              </w:rPr>
              <w:t>พัฒนาบุคลากรให้สามารถปฏิบัติงานโดยใช้เทคโนโลยีเป็นเครื่องมือในการเพิ่มประสิทธิภาพ</w:t>
            </w:r>
          </w:p>
        </w:tc>
        <w:tc>
          <w:tcPr>
            <w:tcW w:w="1701" w:type="dxa"/>
          </w:tcPr>
          <w:p w:rsidR="00850DE2" w:rsidRPr="007C2AA7" w:rsidRDefault="00850DE2" w:rsidP="00850DE2">
            <w:pPr>
              <w:rPr>
                <w:color w:val="000000"/>
                <w:sz w:val="28"/>
                <w:szCs w:val="28"/>
              </w:rPr>
            </w:pPr>
            <w:r w:rsidRPr="007C2AA7">
              <w:rPr>
                <w:color w:val="000000"/>
                <w:sz w:val="28"/>
                <w:szCs w:val="28"/>
                <w:cs/>
              </w:rPr>
              <w:t>พัฒนาบุคลากรให้สามารถปฏิบัติงานโดยใช้เทคโนโลยีเป็นเครื่องมือในการเพิ่มประสิทธิภาพ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2D3F7F">
        <w:trPr>
          <w:trHeight w:val="531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F925A3" w:rsidRDefault="00850DE2" w:rsidP="00850DE2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2D3F7F">
        <w:trPr>
          <w:trHeight w:val="555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2D3F7F">
        <w:trPr>
          <w:trHeight w:val="407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p w:rsidR="00850DE2" w:rsidRDefault="00850DE2"/>
    <w:p w:rsidR="00850DE2" w:rsidRDefault="00850DE2"/>
    <w:p w:rsidR="00850DE2" w:rsidRDefault="00850DE2"/>
    <w:p w:rsidR="00850DE2" w:rsidRDefault="00850DE2"/>
    <w:p w:rsidR="00850DE2" w:rsidRDefault="00850DE2"/>
    <w:p w:rsidR="00850DE2" w:rsidRDefault="00850DE2"/>
    <w:p w:rsidR="00850DE2" w:rsidRDefault="00850DE2"/>
    <w:p w:rsidR="00850DE2" w:rsidRDefault="00850DE2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2D3F7F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2D3F7F">
              <w:rPr>
                <w:b/>
                <w:bCs/>
                <w:sz w:val="28"/>
                <w:szCs w:val="28"/>
              </w:rPr>
              <w:t xml:space="preserve">3 </w:t>
            </w:r>
            <w:r w:rsidRPr="002D3F7F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850DE2" w:rsidRPr="00373831" w:rsidTr="00F925A3">
        <w:trPr>
          <w:trHeight w:val="566"/>
        </w:trPr>
        <w:tc>
          <w:tcPr>
            <w:tcW w:w="704" w:type="dxa"/>
            <w:noWrap/>
          </w:tcPr>
          <w:p w:rsidR="00850DE2" w:rsidRPr="00373831" w:rsidRDefault="00850DE2" w:rsidP="00850DE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ระบบการเชื่อมโยงข้อมูลระหว่างหน่วยงานที่รองรับการเชื่อมโยง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37.0000</w:t>
            </w:r>
          </w:p>
        </w:tc>
        <w:tc>
          <w:tcPr>
            <w:tcW w:w="851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10.0000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10.0000</w:t>
            </w:r>
          </w:p>
        </w:tc>
        <w:tc>
          <w:tcPr>
            <w:tcW w:w="1985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การเชื่อมโยงกับหน่วยงานภายอก</w:t>
            </w:r>
            <w:r>
              <w:rPr>
                <w:color w:val="000000"/>
                <w:sz w:val="28"/>
                <w:szCs w:val="28"/>
              </w:rPr>
              <w:br/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การให้บริการ ณ จุดเดียว</w:t>
            </w:r>
          </w:p>
        </w:tc>
        <w:tc>
          <w:tcPr>
            <w:tcW w:w="212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ลดความซ้ำซ้อนของข้อมูลระหว่างหน่วยงานภายใน</w:t>
            </w:r>
          </w:p>
        </w:tc>
        <w:tc>
          <w:tcPr>
            <w:tcW w:w="2268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การเพิ่มช่องทางดิจิทัลให้กับประชาชนในการเข้าถึงบริการ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850DE2" w:rsidRPr="00373831" w:rsidTr="00850DE2">
        <w:trPr>
          <w:trHeight w:val="451"/>
        </w:trPr>
        <w:tc>
          <w:tcPr>
            <w:tcW w:w="704" w:type="dxa"/>
            <w:noWrap/>
          </w:tcPr>
          <w:p w:rsidR="00850DE2" w:rsidRPr="00373831" w:rsidRDefault="00850DE2" w:rsidP="00850DE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50DE2" w:rsidRPr="00373831" w:rsidRDefault="00850DE2" w:rsidP="00850DE2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0DE2" w:rsidRPr="00373831" w:rsidRDefault="00850DE2" w:rsidP="00850DE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850DE2" w:rsidRPr="00373831" w:rsidTr="00F925A3">
        <w:trPr>
          <w:trHeight w:val="412"/>
        </w:trPr>
        <w:tc>
          <w:tcPr>
            <w:tcW w:w="704" w:type="dxa"/>
            <w:noWrap/>
          </w:tcPr>
          <w:p w:rsidR="00850DE2" w:rsidRPr="00373831" w:rsidRDefault="00850DE2" w:rsidP="00850DE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50DE2" w:rsidRPr="00373831" w:rsidRDefault="00850DE2" w:rsidP="00850DE2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0DE2" w:rsidRPr="00373831" w:rsidRDefault="00850DE2" w:rsidP="00850DE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850DE2" w:rsidRPr="00373831" w:rsidTr="00F925A3">
        <w:trPr>
          <w:trHeight w:val="412"/>
        </w:trPr>
        <w:tc>
          <w:tcPr>
            <w:tcW w:w="704" w:type="dxa"/>
            <w:noWrap/>
          </w:tcPr>
          <w:p w:rsidR="00850DE2" w:rsidRDefault="00850DE2" w:rsidP="00850DE2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50DE2" w:rsidRPr="00373831" w:rsidRDefault="00850DE2" w:rsidP="00850DE2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0DE2" w:rsidRPr="00373831" w:rsidRDefault="00850DE2" w:rsidP="00850DE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p w:rsidR="00A547A8" w:rsidRDefault="00A547A8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A547A8" w:rsidRDefault="00A547A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126"/>
        <w:gridCol w:w="1985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4E290F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2D3F7F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2D3F7F">
              <w:rPr>
                <w:b/>
                <w:bCs/>
                <w:sz w:val="28"/>
                <w:szCs w:val="28"/>
              </w:rPr>
              <w:t xml:space="preserve">4 </w:t>
            </w:r>
            <w:r w:rsidRPr="002D3F7F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850DE2" w:rsidRPr="00373831" w:rsidTr="004E290F">
        <w:trPr>
          <w:trHeight w:val="461"/>
        </w:trPr>
        <w:tc>
          <w:tcPr>
            <w:tcW w:w="704" w:type="dxa"/>
            <w:noWrap/>
          </w:tcPr>
          <w:p w:rsidR="00850DE2" w:rsidRPr="00373831" w:rsidRDefault="00850DE2" w:rsidP="00850DE2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ระบบดิจิทัลเพื่อกระบวนการวิจัย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0.3000</w:t>
            </w:r>
          </w:p>
        </w:tc>
        <w:tc>
          <w:tcPr>
            <w:tcW w:w="851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0.3000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0.3000</w:t>
            </w:r>
          </w:p>
        </w:tc>
        <w:tc>
          <w:tcPr>
            <w:tcW w:w="212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1985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2268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850DE2" w:rsidRPr="00373831" w:rsidTr="004E290F">
        <w:trPr>
          <w:trHeight w:val="436"/>
        </w:trPr>
        <w:tc>
          <w:tcPr>
            <w:tcW w:w="704" w:type="dxa"/>
            <w:noWrap/>
          </w:tcPr>
          <w:p w:rsidR="00850DE2" w:rsidRPr="00373831" w:rsidRDefault="00850DE2" w:rsidP="00850DE2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ระบบดิจิทัลเพื่อกระบวนการบริหารการเงิน การคลัง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3.9000</w:t>
            </w:r>
          </w:p>
        </w:tc>
        <w:tc>
          <w:tcPr>
            <w:tcW w:w="851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3.9000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3.9000</w:t>
            </w:r>
          </w:p>
        </w:tc>
        <w:tc>
          <w:tcPr>
            <w:tcW w:w="212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>
              <w:rPr>
                <w:color w:val="000000"/>
                <w:sz w:val="28"/>
                <w:szCs w:val="28"/>
                <w:cs/>
              </w:rPr>
              <w:t>ปรับปรุงระบบ/กระบวนการติดตามเอกสาร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1985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2268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850DE2" w:rsidRPr="00373831" w:rsidTr="004E290F">
        <w:trPr>
          <w:trHeight w:val="436"/>
        </w:trPr>
        <w:tc>
          <w:tcPr>
            <w:tcW w:w="704" w:type="dxa"/>
            <w:noWrap/>
          </w:tcPr>
          <w:p w:rsidR="00850DE2" w:rsidRPr="00373831" w:rsidRDefault="00850DE2" w:rsidP="00850DE2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ระบบดิจิทัลเพื่อการถ่ายทอดองค์ความรู้ วทน.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0.0500</w:t>
            </w:r>
          </w:p>
        </w:tc>
        <w:tc>
          <w:tcPr>
            <w:tcW w:w="851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10.0000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1.0500</w:t>
            </w:r>
          </w:p>
        </w:tc>
        <w:tc>
          <w:tcPr>
            <w:tcW w:w="212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1985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People-centered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2268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850DE2" w:rsidRPr="00373831" w:rsidTr="004E290F">
        <w:trPr>
          <w:trHeight w:val="436"/>
        </w:trPr>
        <w:tc>
          <w:tcPr>
            <w:tcW w:w="704" w:type="dxa"/>
            <w:noWrap/>
          </w:tcPr>
          <w:p w:rsidR="00850DE2" w:rsidRDefault="004E290F" w:rsidP="00850DE2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ระบบดิจิทัลเพื่อเพิ่มศักยภาพงานบริการอุตสาหกรรมของ วว.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3.0100</w:t>
            </w:r>
          </w:p>
        </w:tc>
        <w:tc>
          <w:tcPr>
            <w:tcW w:w="851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7.1000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1.3000</w:t>
            </w:r>
          </w:p>
        </w:tc>
        <w:tc>
          <w:tcPr>
            <w:tcW w:w="2126" w:type="dxa"/>
          </w:tcPr>
          <w:p w:rsidR="00850DE2" w:rsidRDefault="004E290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</w:rPr>
              <w:t xml:space="preserve"> CRM / Call Center </w:t>
            </w:r>
            <w:r w:rsidR="00850DE2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</w:rPr>
              <w:t xml:space="preserve"> </w:t>
            </w:r>
            <w:r w:rsidR="00850DE2"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1985" w:type="dxa"/>
          </w:tcPr>
          <w:p w:rsidR="00850DE2" w:rsidRDefault="004E290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</w:rPr>
              <w:t>Executive Information System (EIS)</w:t>
            </w:r>
            <w:r w:rsidR="00850DE2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</w:rPr>
              <w:t>Decision Support System (DSS)</w:t>
            </w:r>
            <w:r w:rsidR="00850DE2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2268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850DE2" w:rsidRPr="00373831" w:rsidTr="004E290F">
        <w:trPr>
          <w:trHeight w:val="436"/>
        </w:trPr>
        <w:tc>
          <w:tcPr>
            <w:tcW w:w="704" w:type="dxa"/>
            <w:noWrap/>
          </w:tcPr>
          <w:p w:rsidR="00850DE2" w:rsidRDefault="004E290F" w:rsidP="00850DE2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ระบบดิจิทัลเพื่อการบริหารและพัฒนาบุคลากร (</w:t>
            </w:r>
            <w:r>
              <w:rPr>
                <w:color w:val="000000"/>
                <w:sz w:val="28"/>
                <w:szCs w:val="28"/>
              </w:rPr>
              <w:t>HRIS)</w:t>
            </w:r>
          </w:p>
        </w:tc>
        <w:tc>
          <w:tcPr>
            <w:tcW w:w="850" w:type="dxa"/>
          </w:tcPr>
          <w:p w:rsidR="00850DE2" w:rsidRDefault="00850DE2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0" w:type="dxa"/>
          </w:tcPr>
          <w:p w:rsidR="00850DE2" w:rsidRDefault="00850DE2" w:rsidP="00850D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2126" w:type="dxa"/>
          </w:tcPr>
          <w:p w:rsidR="00850DE2" w:rsidRDefault="004E290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1985" w:type="dxa"/>
          </w:tcPr>
          <w:p w:rsidR="00850DE2" w:rsidRDefault="004E290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</w:rPr>
              <w:t>Smart Office</w:t>
            </w:r>
            <w:r w:rsidR="00850DE2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2268" w:type="dxa"/>
          </w:tcPr>
          <w:p w:rsidR="00850DE2" w:rsidRDefault="004E290F" w:rsidP="00850DE2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</w:rPr>
              <w:t>Smart Office</w:t>
            </w:r>
            <w:r w:rsidR="00850DE2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850DE2">
              <w:rPr>
                <w:color w:val="000000"/>
                <w:sz w:val="28"/>
                <w:szCs w:val="28"/>
                <w:cs/>
              </w:rPr>
              <w:t>บำรุงรักษาระบบ</w:t>
            </w: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850DE2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850DE2" w:rsidRPr="00373831" w:rsidTr="004E290F">
        <w:trPr>
          <w:trHeight w:val="436"/>
        </w:trPr>
        <w:tc>
          <w:tcPr>
            <w:tcW w:w="704" w:type="dxa"/>
            <w:noWrap/>
          </w:tcPr>
          <w:p w:rsidR="00850DE2" w:rsidRDefault="004E290F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850DE2" w:rsidRPr="00550B5E" w:rsidRDefault="00850DE2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850DE2" w:rsidRPr="00373831" w:rsidRDefault="00850DE2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50DE2" w:rsidRPr="00373831" w:rsidRDefault="00850DE2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DE2" w:rsidRPr="00373831" w:rsidRDefault="00850DE2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50DE2" w:rsidRPr="00373831" w:rsidRDefault="00850DE2" w:rsidP="00B0384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50DE2" w:rsidRPr="00373831" w:rsidRDefault="00850DE2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850DE2" w:rsidRPr="00373831" w:rsidRDefault="00850DE2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50DE2" w:rsidRPr="00373831" w:rsidRDefault="00850DE2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0DE2" w:rsidRPr="00373831" w:rsidRDefault="00850DE2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4E290F" w:rsidRPr="00373831" w:rsidTr="004E290F">
        <w:trPr>
          <w:trHeight w:val="436"/>
        </w:trPr>
        <w:tc>
          <w:tcPr>
            <w:tcW w:w="704" w:type="dxa"/>
            <w:noWrap/>
          </w:tcPr>
          <w:p w:rsidR="004E290F" w:rsidRDefault="004E290F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</w:t>
            </w:r>
          </w:p>
        </w:tc>
        <w:tc>
          <w:tcPr>
            <w:tcW w:w="3686" w:type="dxa"/>
            <w:vAlign w:val="center"/>
          </w:tcPr>
          <w:p w:rsidR="004E290F" w:rsidRPr="00550B5E" w:rsidRDefault="004E290F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4E290F" w:rsidRPr="00373831" w:rsidRDefault="004E290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E290F" w:rsidRPr="00373831" w:rsidRDefault="004E290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E290F" w:rsidRPr="00373831" w:rsidRDefault="004E290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90F" w:rsidRPr="00373831" w:rsidRDefault="004E290F" w:rsidP="00B0384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4E290F" w:rsidRPr="00373831" w:rsidTr="004E290F">
        <w:trPr>
          <w:trHeight w:val="436"/>
        </w:trPr>
        <w:tc>
          <w:tcPr>
            <w:tcW w:w="704" w:type="dxa"/>
            <w:noWrap/>
          </w:tcPr>
          <w:p w:rsidR="004E290F" w:rsidRDefault="004E290F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</w:t>
            </w:r>
          </w:p>
        </w:tc>
        <w:tc>
          <w:tcPr>
            <w:tcW w:w="3686" w:type="dxa"/>
            <w:vAlign w:val="center"/>
          </w:tcPr>
          <w:p w:rsidR="004E290F" w:rsidRPr="00550B5E" w:rsidRDefault="004E290F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4E290F" w:rsidRPr="00373831" w:rsidRDefault="004E290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E290F" w:rsidRPr="00373831" w:rsidRDefault="004E290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E290F" w:rsidRPr="00373831" w:rsidRDefault="004E290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90F" w:rsidRPr="00373831" w:rsidRDefault="004E290F" w:rsidP="00B0384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E290F" w:rsidRPr="00373831" w:rsidRDefault="004E290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4240585</wp:posOffset>
            </wp:positionH>
            <wp:positionV relativeFrom="paragraph">
              <wp:posOffset>382905</wp:posOffset>
            </wp:positionV>
            <wp:extent cx="771525" cy="771525"/>
            <wp:effectExtent l="0" t="0" r="9525" b="9525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1B" w:rsidRDefault="00565A1B" w:rsidP="00C025F0">
      <w:pPr>
        <w:spacing w:after="0" w:line="240" w:lineRule="auto"/>
      </w:pPr>
      <w:r>
        <w:separator/>
      </w:r>
    </w:p>
  </w:endnote>
  <w:endnote w:type="continuationSeparator" w:id="0">
    <w:p w:rsidR="00565A1B" w:rsidRDefault="00565A1B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836E7A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836E7A">
      <w:rPr>
        <w:rFonts w:ascii="TH SarabunPSK" w:hAnsi="TH SarabunPSK" w:cs="TH SarabunPSK"/>
        <w:b/>
        <w:bCs/>
        <w:color w:val="FF0000"/>
        <w:cs/>
      </w:rPr>
      <w:tab/>
    </w:r>
    <w:r w:rsidR="00836E7A" w:rsidRPr="00836E7A">
      <w:rPr>
        <w:rFonts w:ascii="TH SarabunPSK" w:hAnsi="TH SarabunPSK" w:cs="TH SarabunPSK"/>
        <w:b/>
        <w:bCs/>
        <w:color w:val="FF0000"/>
        <w:cs/>
      </w:rPr>
      <w:t>หมายเหตุ : หากมีการปรับแก้ไขข้อมูลโปรดใช้ตัวอักษรสีแดง</w:t>
    </w:r>
    <w:r w:rsidRPr="00836E7A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1B" w:rsidRDefault="00565A1B" w:rsidP="00C025F0">
      <w:pPr>
        <w:spacing w:after="0" w:line="240" w:lineRule="auto"/>
      </w:pPr>
      <w:r>
        <w:separator/>
      </w:r>
    </w:p>
  </w:footnote>
  <w:footnote w:type="continuationSeparator" w:id="0">
    <w:p w:rsidR="00565A1B" w:rsidRDefault="00565A1B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565A1B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D3F7F"/>
    <w:rsid w:val="002F6966"/>
    <w:rsid w:val="00330014"/>
    <w:rsid w:val="00371BF7"/>
    <w:rsid w:val="00373831"/>
    <w:rsid w:val="00384CC1"/>
    <w:rsid w:val="00384FB5"/>
    <w:rsid w:val="00387881"/>
    <w:rsid w:val="00391339"/>
    <w:rsid w:val="003A5B80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290F"/>
    <w:rsid w:val="004E5464"/>
    <w:rsid w:val="004E595B"/>
    <w:rsid w:val="004F55AE"/>
    <w:rsid w:val="005006C2"/>
    <w:rsid w:val="005425A1"/>
    <w:rsid w:val="00550B5E"/>
    <w:rsid w:val="00561FF0"/>
    <w:rsid w:val="00564392"/>
    <w:rsid w:val="00565A1B"/>
    <w:rsid w:val="00573B5D"/>
    <w:rsid w:val="005929C9"/>
    <w:rsid w:val="005A1661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168AE"/>
    <w:rsid w:val="008239B2"/>
    <w:rsid w:val="00834721"/>
    <w:rsid w:val="00836E77"/>
    <w:rsid w:val="00836E7A"/>
    <w:rsid w:val="00840C16"/>
    <w:rsid w:val="00850DE2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243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25DF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90375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ED47-ECA4-4947-BE39-A02FF387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6</cp:revision>
  <cp:lastPrinted>2018-12-26T09:30:00Z</cp:lastPrinted>
  <dcterms:created xsi:type="dcterms:W3CDTF">2018-12-26T07:54:00Z</dcterms:created>
  <dcterms:modified xsi:type="dcterms:W3CDTF">2018-12-26T09:31:00Z</dcterms:modified>
</cp:coreProperties>
</file>