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EE5E95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28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ศูนย์ความเป็นเลิศด้านชีววิทยาศาสตร์ (องค์การมหาชน) (ศลช.)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DE40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EE5E95">
        <w:rPr>
          <w:rFonts w:ascii="TH SarabunPSK" w:eastAsia="Times New Roman" w:hAnsi="TH SarabunPSK" w:cs="TH SarabunPSK" w:hint="cs"/>
          <w:i/>
          <w:iCs/>
          <w:sz w:val="28"/>
          <w:cs/>
        </w:rPr>
        <w:t>ศลช.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EE5E95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DE485B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โครงการพัฒนาฐานข้อมูลบน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website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เพื่อให้ความรู้เกี่ยวกับการวิเคราะห์แนวโน้มนวัตกรรมด้านชีววิทยาศาตร์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เพื่อการพัฒนาต่อยอดธุรกิจ รวมทั้งฐานข้อมูลหน่วยงานที่เกี่ยวข้อง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ฐานข้อมูลความต้องการทางการตลาดในด้านการดูแลสุขภาพในยุคดิจิตัล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1.0000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561FF0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561FF0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EE5E95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EE5E95" w:rsidRDefault="00EE5E9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E5E95" w:rsidRDefault="00EE5E9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E5E95" w:rsidRDefault="00EE5E9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E5E95" w:rsidRDefault="00EE5E95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EE5E95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EE5E95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EE5E95" w:rsidRPr="00E30FB2" w:rsidTr="00EE5E95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DE485B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โครงการพัฒนาฐานข้อมูลและปรับปรุง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website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เพื่อส่งเสริมการให้บริการด้านการวิจัยพัฒนาและธุรกิจการลงทุน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Website/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ระบบบริการ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Web Accessibility)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ตามข้อกำหนดของ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W3C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0.6500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9A7431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9A7431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EE5E95" w:rsidRPr="00E30FB2" w:rsidTr="00EE5E9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DE485B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โครงการพัฒนาระบบประชุมทางไกลของหน่วยงาน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จัดหา/พัฒนาระบบประชุมทางไกล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0.2000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EE5E95" w:rsidRPr="00E30FB2" w:rsidTr="00EE5E9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DE485B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โครงการพัฒนาระบบสารสนเทศเพื่อการบริหารจัดการองค์กร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Government ERP)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เพื่อให้ทุกระบบเชื่อมโยงเข้าหากันตามนโยบาย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Thailand 4.0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มีการทำข้อตกลงความร่วมมือ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MOU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ร่วมกับทาง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TOT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เพื่อมีแนวทางในการพัฒนาระบบ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ERP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ร่วมกัน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EE5E9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EE5E95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EE5E9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57340E" w:rsidRPr="00E30FB2" w:rsidTr="00EE5E95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0E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0E" w:rsidRPr="00DE485B" w:rsidRDefault="0057340E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0E" w:rsidRPr="00DE485B" w:rsidRDefault="0057340E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0E" w:rsidRPr="00DE485B" w:rsidRDefault="0057340E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0E" w:rsidRPr="006F3B0F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0E" w:rsidRPr="006F3B0F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0E" w:rsidRPr="006F3B0F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0E" w:rsidRPr="006F3B0F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0E" w:rsidRPr="006F3B0F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0E" w:rsidRPr="006F3B0F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0E" w:rsidRPr="006F3B0F" w:rsidRDefault="0057340E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EE5E95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9A7431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โครงการจัดทำระบบ ระบบมาตรฐาน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ISO 9001:2015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สำหรับปรับปรุงกระบวนการทำงานของหน่วยงาน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มีการตั้งคณะทำงานและดำเนินการปรับปรุงกระบวนการทำงานให้ได้มาตรฐาน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0.5400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EE5E95" w:rsidRPr="005F7445" w:rsidTr="00A51CC2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9A7431" w:rsidRDefault="00EE5E95" w:rsidP="00EE5E95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โครงการบำรุงรักษาและเพิ่มประสิทธิภาพการให้บริการระบบเทคโนโลยีสารสนเทศและการสื่อสาร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ผลความประเมินความพึงพอใจผู้ใช้บริการ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4.0000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</w:tr>
      <w:tr w:rsidR="00EE5E95" w:rsidRPr="005F7445" w:rsidTr="00A51CC2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9A7431" w:rsidRDefault="00EE5E95" w:rsidP="00EE5E9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โครงการจัดทำ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Enterprise Architecture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ดำเนินการตามแผนร้อยละ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</w:tr>
      <w:tr w:rsidR="00EE5E95" w:rsidRPr="005F7445" w:rsidTr="00E72F64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6F3B0F" w:rsidRDefault="00EE5E95" w:rsidP="00EE5E9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โครงการจัดซื้อครุภัณฑ์คอมพิวเตอร์พีซี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โน๊ตบุ๊คและอุปกรณ์ประกอบเพื่อเพียงพอต่อการใช้งานและทดแทนของเดิมที่ชำรุด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มีอุปกรณ์ที่เพียงพอต่อการใช้งานทดแทนของเดิมที่ชำรุด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0.9000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</w:tr>
      <w:tr w:rsidR="00EE5E95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6F3B0F" w:rsidRDefault="00EE5E95" w:rsidP="00EE5E9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6F3B0F" w:rsidRDefault="00EE5E95" w:rsidP="00EE5E95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</w:tr>
      <w:tr w:rsidR="00EE5E95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6F3B0F" w:rsidRDefault="00EE5E95" w:rsidP="00EE5E9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6F3B0F" w:rsidRDefault="00EE5E95" w:rsidP="00EE5E95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6F3B0F" w:rsidRDefault="00EE5E95" w:rsidP="00EE5E95"/>
        </w:tc>
      </w:tr>
    </w:tbl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EE5E95" w:rsidRPr="00E30FB2" w:rsidTr="00FC5491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Pr="009A7431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ฝึกอบรมสัมมนาและทัศนะศึกษาดูงาน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เพื่อเพิ่มประสิทธิภาพในการให้บริการด้านสารสนเทศและการสื่อสาร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5" w:rsidRDefault="00EE5E95" w:rsidP="00EE5E9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จัดอบรม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สัมมนาและ/หรือทัศนะศึกษาดูงานให้กับบุคลากร ปีละ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ครั้ง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95" w:rsidRDefault="00EE5E95" w:rsidP="00EE5E9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0.5000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E95" w:rsidRPr="005F7445" w:rsidRDefault="00EE5E95" w:rsidP="00EE5E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EE5E95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7565D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5D" w:rsidRPr="009A7431" w:rsidRDefault="0097565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5D" w:rsidRPr="00330014" w:rsidRDefault="0097565D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D" w:rsidRPr="005F7445" w:rsidRDefault="0097565D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5D" w:rsidRPr="005F7445" w:rsidRDefault="0097565D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5D" w:rsidRPr="005F7445" w:rsidRDefault="0097565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5D" w:rsidRPr="005F7445" w:rsidRDefault="0097565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65D" w:rsidRPr="005F7445" w:rsidRDefault="0097565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65D" w:rsidRPr="005F7445" w:rsidRDefault="0097565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65D" w:rsidRPr="005F7445" w:rsidRDefault="0097565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97565D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482"/>
        </w:trPr>
        <w:tc>
          <w:tcPr>
            <w:tcW w:w="704" w:type="dxa"/>
          </w:tcPr>
          <w:p w:rsidR="0097565D" w:rsidRPr="00A547A8" w:rsidRDefault="0097565D" w:rsidP="0097565D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โครงการพัฒนาฐานข้อมูลบน </w:t>
            </w:r>
            <w:r>
              <w:rPr>
                <w:color w:val="000000"/>
                <w:sz w:val="28"/>
                <w:szCs w:val="28"/>
              </w:rPr>
              <w:t xml:space="preserve">website </w:t>
            </w:r>
            <w:r>
              <w:rPr>
                <w:color w:val="000000"/>
                <w:sz w:val="28"/>
                <w:szCs w:val="28"/>
                <w:cs/>
              </w:rPr>
              <w:t>เพื่อให้ความรู้เกี่ยวกับการวิเคราะห์แนวโน้มนวัตกรรมด้านชีววิทยาศาตร์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เพื่อการพัฒนาต่อยอดธุรกิจ รวมทั้งฐานข้อมูลหน่วยงานที่เกี่ยวข้อง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ฐานข้อมูลมาตรฐาน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และการบริการทดสอบมาตรฐานหุ่นยนต์ทางการแพทย์</w:t>
            </w:r>
          </w:p>
        </w:tc>
        <w:tc>
          <w:tcPr>
            <w:tcW w:w="1843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ฐานข้อมูลแอพพลิเคชั่นทางการแพทย์ยุคใหม่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เพื่อต่อยอดการบริการทางการแพทย์ที่เข้าถึงชุมชน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ฐานข้อมูลแนวโน้มตลาดด้านชีววิทยาศาสตร์ในยุคดิจิตัล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97565D" w:rsidRPr="00373831" w:rsidRDefault="0097565D" w:rsidP="0097565D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97565D" w:rsidRPr="00373831" w:rsidRDefault="0097565D" w:rsidP="0097565D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F925A3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398"/>
        </w:trPr>
        <w:tc>
          <w:tcPr>
            <w:tcW w:w="704" w:type="dxa"/>
          </w:tcPr>
          <w:p w:rsidR="0097565D" w:rsidRPr="00A547A8" w:rsidRDefault="0097565D" w:rsidP="00F925A3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97565D" w:rsidRPr="00272514" w:rsidRDefault="0097565D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97565D" w:rsidRPr="00373831" w:rsidRDefault="0097565D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2268"/>
        <w:gridCol w:w="1843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97565D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97565D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97565D">
              <w:rPr>
                <w:b/>
                <w:bCs/>
                <w:sz w:val="28"/>
                <w:szCs w:val="28"/>
              </w:rPr>
              <w:t xml:space="preserve">2 </w:t>
            </w:r>
            <w:r w:rsidRPr="0097565D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7565D" w:rsidRPr="00373831" w:rsidTr="0097565D">
        <w:trPr>
          <w:trHeight w:val="1397"/>
        </w:trPr>
        <w:tc>
          <w:tcPr>
            <w:tcW w:w="704" w:type="dxa"/>
            <w:noWrap/>
            <w:hideMark/>
          </w:tcPr>
          <w:p w:rsidR="0097565D" w:rsidRPr="00373831" w:rsidRDefault="0097565D" w:rsidP="0097565D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โครงการพัฒนาฐานข้อมูลและปรับปรุง </w:t>
            </w:r>
            <w:r>
              <w:rPr>
                <w:color w:val="000000"/>
                <w:sz w:val="28"/>
                <w:szCs w:val="28"/>
              </w:rPr>
              <w:t xml:space="preserve">website </w:t>
            </w:r>
            <w:r>
              <w:rPr>
                <w:color w:val="000000"/>
                <w:sz w:val="28"/>
                <w:szCs w:val="28"/>
                <w:cs/>
              </w:rPr>
              <w:t>หน่วยงาน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เพื่อส่งเสริมการให้บริการด้านการวิจัยพัฒนาและธุรกิจการลงทุน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0.6000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ปรับปรุงพัฒนา</w:t>
            </w:r>
            <w:r>
              <w:rPr>
                <w:color w:val="000000"/>
                <w:sz w:val="28"/>
                <w:szCs w:val="28"/>
              </w:rPr>
              <w:t>Website/</w:t>
            </w:r>
            <w:r>
              <w:rPr>
                <w:color w:val="000000"/>
                <w:sz w:val="28"/>
                <w:szCs w:val="28"/>
                <w:cs/>
              </w:rPr>
              <w:t>ระบบบริการ(</w:t>
            </w:r>
            <w:r>
              <w:rPr>
                <w:color w:val="000000"/>
                <w:sz w:val="28"/>
                <w:szCs w:val="28"/>
              </w:rPr>
              <w:t xml:space="preserve">Web Accessibility) </w:t>
            </w:r>
            <w:r>
              <w:rPr>
                <w:color w:val="000000"/>
                <w:sz w:val="28"/>
                <w:szCs w:val="28"/>
                <w:cs/>
              </w:rPr>
              <w:t xml:space="preserve">ตามข้อกำหนดของ </w:t>
            </w:r>
            <w:r>
              <w:rPr>
                <w:color w:val="000000"/>
                <w:sz w:val="28"/>
                <w:szCs w:val="28"/>
              </w:rPr>
              <w:t>W3C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ปรับปรุงพัฒนา</w:t>
            </w:r>
            <w:r>
              <w:rPr>
                <w:color w:val="000000"/>
                <w:sz w:val="28"/>
                <w:szCs w:val="28"/>
              </w:rPr>
              <w:t>Website/</w:t>
            </w:r>
            <w:r>
              <w:rPr>
                <w:color w:val="000000"/>
                <w:sz w:val="28"/>
                <w:szCs w:val="28"/>
                <w:cs/>
              </w:rPr>
              <w:t>ระบบบริการ(</w:t>
            </w:r>
            <w:r>
              <w:rPr>
                <w:color w:val="000000"/>
                <w:sz w:val="28"/>
                <w:szCs w:val="28"/>
              </w:rPr>
              <w:t xml:space="preserve">Web Accessibility) </w:t>
            </w:r>
            <w:r>
              <w:rPr>
                <w:color w:val="000000"/>
                <w:sz w:val="28"/>
                <w:szCs w:val="28"/>
                <w:cs/>
              </w:rPr>
              <w:t xml:space="preserve">ตามข้อกำหนดของ </w:t>
            </w:r>
            <w:r>
              <w:rPr>
                <w:color w:val="000000"/>
                <w:sz w:val="28"/>
                <w:szCs w:val="28"/>
              </w:rPr>
              <w:t>W3C</w:t>
            </w:r>
          </w:p>
        </w:tc>
        <w:tc>
          <w:tcPr>
            <w:tcW w:w="1843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ปรับปรุงพัฒนา</w:t>
            </w:r>
            <w:r>
              <w:rPr>
                <w:color w:val="000000"/>
                <w:sz w:val="28"/>
                <w:szCs w:val="28"/>
              </w:rPr>
              <w:t>Website/</w:t>
            </w:r>
            <w:r>
              <w:rPr>
                <w:color w:val="000000"/>
                <w:sz w:val="28"/>
                <w:szCs w:val="28"/>
                <w:cs/>
              </w:rPr>
              <w:t>ระบบบริการ(</w:t>
            </w:r>
            <w:r>
              <w:rPr>
                <w:color w:val="000000"/>
                <w:sz w:val="28"/>
                <w:szCs w:val="28"/>
              </w:rPr>
              <w:t xml:space="preserve">Web Accessibility) </w:t>
            </w:r>
            <w:r>
              <w:rPr>
                <w:color w:val="000000"/>
                <w:sz w:val="28"/>
                <w:szCs w:val="28"/>
                <w:cs/>
              </w:rPr>
              <w:t xml:space="preserve">ตามข้อกำหนดของ </w:t>
            </w:r>
            <w:r>
              <w:rPr>
                <w:color w:val="000000"/>
                <w:sz w:val="28"/>
                <w:szCs w:val="28"/>
              </w:rPr>
              <w:t>W3C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97565D">
        <w:trPr>
          <w:trHeight w:val="852"/>
        </w:trPr>
        <w:tc>
          <w:tcPr>
            <w:tcW w:w="704" w:type="dxa"/>
            <w:noWrap/>
          </w:tcPr>
          <w:p w:rsidR="0097565D" w:rsidRPr="00373831" w:rsidRDefault="0097565D" w:rsidP="0097565D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โครงการพัฒนาระบบประชุมทางไกลของหน่วยงาน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0.0500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พัฒนาระบบประชุมทางไกล/บำรุงรักษา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พัฒนาระบบประชุมทางไกล/บำรุงรักษา</w:t>
            </w:r>
          </w:p>
        </w:tc>
        <w:tc>
          <w:tcPr>
            <w:tcW w:w="1843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พัฒนาระบบประชุมทางไกล/บำรุงรักษา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97565D">
        <w:trPr>
          <w:trHeight w:val="1114"/>
        </w:trPr>
        <w:tc>
          <w:tcPr>
            <w:tcW w:w="704" w:type="dxa"/>
            <w:noWrap/>
          </w:tcPr>
          <w:p w:rsidR="0097565D" w:rsidRPr="00373831" w:rsidRDefault="0097565D" w:rsidP="0097565D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โครงการพัฒนาระบบสารสนเทศเพื่อการบริหารจัดการองค์กร (</w:t>
            </w:r>
            <w:r>
              <w:rPr>
                <w:color w:val="000000"/>
                <w:sz w:val="28"/>
                <w:szCs w:val="28"/>
              </w:rPr>
              <w:t xml:space="preserve">Government ERP) </w:t>
            </w:r>
            <w:r>
              <w:rPr>
                <w:color w:val="000000"/>
                <w:sz w:val="28"/>
                <w:szCs w:val="28"/>
                <w:cs/>
              </w:rPr>
              <w:t xml:space="preserve">เพื่อให้ทุกระบบเชื่อมโยงเข้าหากันตามนโยบาย </w:t>
            </w:r>
            <w:r>
              <w:rPr>
                <w:color w:val="000000"/>
                <w:sz w:val="28"/>
                <w:szCs w:val="28"/>
              </w:rPr>
              <w:t>Thailand 4.0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4.5000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ดำเนินการร่วมกันพัฒนาระบบ</w:t>
            </w:r>
            <w:r>
              <w:rPr>
                <w:color w:val="000000"/>
                <w:sz w:val="28"/>
                <w:szCs w:val="28"/>
              </w:rPr>
              <w:t xml:space="preserve"> ERP </w:t>
            </w:r>
            <w:r>
              <w:rPr>
                <w:color w:val="000000"/>
                <w:sz w:val="28"/>
                <w:szCs w:val="28"/>
                <w:cs/>
              </w:rPr>
              <w:t>และทดสอบใช้งานจริง(เช่าใช้บริการ)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ดำเนินการร่วมกันพัฒนาระบบ</w:t>
            </w:r>
            <w:r>
              <w:rPr>
                <w:color w:val="000000"/>
                <w:sz w:val="28"/>
                <w:szCs w:val="28"/>
              </w:rPr>
              <w:t xml:space="preserve"> ERP </w:t>
            </w:r>
            <w:r>
              <w:rPr>
                <w:color w:val="000000"/>
                <w:sz w:val="28"/>
                <w:szCs w:val="28"/>
                <w:cs/>
              </w:rPr>
              <w:t>และทดสอบใช้งานจริง(เช่าใช้บริการ)</w:t>
            </w:r>
          </w:p>
        </w:tc>
        <w:tc>
          <w:tcPr>
            <w:tcW w:w="1843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ดำเนินการร่วมกันพัฒนาระบบ</w:t>
            </w:r>
            <w:r>
              <w:rPr>
                <w:color w:val="000000"/>
                <w:sz w:val="28"/>
                <w:szCs w:val="28"/>
              </w:rPr>
              <w:t xml:space="preserve"> ERP </w:t>
            </w:r>
            <w:r>
              <w:rPr>
                <w:color w:val="000000"/>
                <w:sz w:val="28"/>
                <w:szCs w:val="28"/>
                <w:cs/>
              </w:rPr>
              <w:t>และทดสอบใช้งานจริง(ซื้อขาด)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65D" w:rsidRPr="00373831" w:rsidTr="0097565D">
        <w:trPr>
          <w:trHeight w:val="1114"/>
        </w:trPr>
        <w:tc>
          <w:tcPr>
            <w:tcW w:w="704" w:type="dxa"/>
            <w:noWrap/>
          </w:tcPr>
          <w:p w:rsidR="0097565D" w:rsidRPr="00373831" w:rsidRDefault="0097565D" w:rsidP="0097565D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โครงการพัฒนาสื่อดิจิทัลและแอพพลิเคชั่น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สำหรับผู้สูงอายุในการลดความเสี่ยงจากโรคสมองเสื่อมอัลไซเมอร์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แอพพลิเคชั่นสำหรับผู้งสูงอายุ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เพื่อลดความเสี่ยงในการเกิดโรคอัลไซเมอร์ และการรวบรวมข้อมูลองค์ความรู้ 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cs/>
              </w:rPr>
              <w:t>แอพพลิเคชั่น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แอพพลิเคชั่นสำหรับผู้งสูงอายุ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เพื่อลดความเสี่ยงในการเกิดโรคอัลไซเมอร์ และการรวบรวมข้อมูลองค์ความรู้ 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cs/>
              </w:rPr>
              <w:t>แอพพลิเคชั่น</w:t>
            </w:r>
          </w:p>
        </w:tc>
        <w:tc>
          <w:tcPr>
            <w:tcW w:w="1843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แอพพลิเคชั่นสำหรับผู้งสูงอายุ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เพื่อลดความเสี่ยงในการเกิดโรคอัลไซเมอร์ และการรวบรวมข้อมูลองค์ความรู้ 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cs/>
              </w:rPr>
              <w:t>แอพพลิเคชั่น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97565D">
        <w:trPr>
          <w:trHeight w:val="691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F925A3" w:rsidP="00B0384B">
            <w:pPr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97565D">
        <w:trPr>
          <w:trHeight w:val="843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F7A33" w:rsidRPr="00373831" w:rsidRDefault="00DF7A3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B22EB" w:rsidRPr="00373831" w:rsidTr="0097565D">
        <w:trPr>
          <w:trHeight w:val="701"/>
        </w:trPr>
        <w:tc>
          <w:tcPr>
            <w:tcW w:w="704" w:type="dxa"/>
            <w:noWrap/>
          </w:tcPr>
          <w:p w:rsidR="009B22EB" w:rsidRPr="00373831" w:rsidRDefault="00330014" w:rsidP="009B22EB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9B22EB" w:rsidRPr="005F7445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97565D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97565D">
              <w:rPr>
                <w:b/>
                <w:bCs/>
                <w:sz w:val="28"/>
                <w:szCs w:val="28"/>
              </w:rPr>
              <w:t xml:space="preserve">3 </w:t>
            </w:r>
            <w:r w:rsidRPr="0097565D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566"/>
        </w:trPr>
        <w:tc>
          <w:tcPr>
            <w:tcW w:w="704" w:type="dxa"/>
            <w:noWrap/>
          </w:tcPr>
          <w:p w:rsidR="0097565D" w:rsidRPr="00373831" w:rsidRDefault="0097565D" w:rsidP="0097565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โครงการบำรุงรักษาและเพิ่มประสิทธิภาพการให้บริการระบบเทคโนโลยีสารสนเทศและการสื่อสาร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4.0000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4.0000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4.0000</w:t>
            </w:r>
          </w:p>
        </w:tc>
        <w:tc>
          <w:tcPr>
            <w:tcW w:w="1985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ผลความประเมินความพึงพอใจผู้ใช้บริการ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ผลความประเมินความพึงพอใจผู้ใช้บริการ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ผลความประเมินความพึงพอใจผู้ใช้บริการ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560"/>
        </w:trPr>
        <w:tc>
          <w:tcPr>
            <w:tcW w:w="704" w:type="dxa"/>
            <w:noWrap/>
          </w:tcPr>
          <w:p w:rsidR="0097565D" w:rsidRPr="00373831" w:rsidRDefault="0097565D" w:rsidP="0097565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โครงการจัดทำ </w:t>
            </w:r>
            <w:r>
              <w:rPr>
                <w:color w:val="000000"/>
                <w:sz w:val="28"/>
                <w:szCs w:val="28"/>
              </w:rPr>
              <w:t>Enterprise Architecture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1985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ดำเนินการตามแผนร้อยละ</w:t>
            </w:r>
            <w:r>
              <w:rPr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212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ดำเนินการตามแผนร้อยละ</w:t>
            </w:r>
            <w:r>
              <w:rPr>
                <w:color w:val="000000"/>
                <w:sz w:val="28"/>
                <w:szCs w:val="28"/>
              </w:rPr>
              <w:t xml:space="preserve"> 75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หน่วยงานมี</w:t>
            </w:r>
            <w:r>
              <w:rPr>
                <w:color w:val="000000"/>
                <w:sz w:val="28"/>
                <w:szCs w:val="28"/>
              </w:rPr>
              <w:t xml:space="preserve">  Enterprise Architecture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412"/>
        </w:trPr>
        <w:tc>
          <w:tcPr>
            <w:tcW w:w="704" w:type="dxa"/>
            <w:noWrap/>
          </w:tcPr>
          <w:p w:rsidR="0097565D" w:rsidRPr="00373831" w:rsidRDefault="0097565D" w:rsidP="0097565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โครงการจัดซื้อครุภัณฑ์คอมพิวเตอร์พีซี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โน๊ตบุ๊คและอุปกรณ์ประกอบเพื่อเพียงพอต่อการใช้งานและทดแทนของเดิมที่ชำรุด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1985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มีอุปกรณ์ที่เพียงพอต่อการใช้งานทดแทนของเดิมที่ชำรุด</w:t>
            </w:r>
          </w:p>
        </w:tc>
        <w:tc>
          <w:tcPr>
            <w:tcW w:w="212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มีอุปกรณ์ที่เพียงพอต่อการใช้งานทดแทนของเดิมที่ชำรุด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มีอุปกรณ์ที่เพียงพอต่อการใช้งานทดแทนของเดิมที่ชำรุด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412"/>
        </w:trPr>
        <w:tc>
          <w:tcPr>
            <w:tcW w:w="704" w:type="dxa"/>
            <w:noWrap/>
          </w:tcPr>
          <w:p w:rsidR="0097565D" w:rsidRDefault="0097565D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97565D" w:rsidRPr="00550B5E" w:rsidRDefault="0097565D" w:rsidP="00B0384B">
            <w:pPr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7565D" w:rsidRPr="00373831" w:rsidRDefault="0097565D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412"/>
        </w:trPr>
        <w:tc>
          <w:tcPr>
            <w:tcW w:w="704" w:type="dxa"/>
            <w:noWrap/>
          </w:tcPr>
          <w:p w:rsidR="0097565D" w:rsidRDefault="0097565D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97565D" w:rsidRPr="00550B5E" w:rsidRDefault="0097565D" w:rsidP="00B0384B">
            <w:pPr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7565D" w:rsidRPr="00373831" w:rsidRDefault="0097565D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F925A3">
        <w:trPr>
          <w:trHeight w:val="412"/>
        </w:trPr>
        <w:tc>
          <w:tcPr>
            <w:tcW w:w="704" w:type="dxa"/>
            <w:noWrap/>
          </w:tcPr>
          <w:p w:rsidR="0097565D" w:rsidRDefault="0097565D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</w:tcPr>
          <w:p w:rsidR="0097565D" w:rsidRPr="00550B5E" w:rsidRDefault="0097565D" w:rsidP="00B0384B">
            <w:pPr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7565D" w:rsidRPr="00373831" w:rsidRDefault="0097565D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97565D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97565D">
              <w:rPr>
                <w:b/>
                <w:bCs/>
                <w:sz w:val="28"/>
                <w:szCs w:val="28"/>
              </w:rPr>
              <w:t xml:space="preserve">4 </w:t>
            </w:r>
            <w:r w:rsidRPr="0097565D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7565D" w:rsidRPr="00373831" w:rsidTr="00A547A8">
        <w:trPr>
          <w:trHeight w:val="981"/>
        </w:trPr>
        <w:tc>
          <w:tcPr>
            <w:tcW w:w="704" w:type="dxa"/>
            <w:noWrap/>
          </w:tcPr>
          <w:p w:rsidR="0097565D" w:rsidRPr="00373831" w:rsidRDefault="0097565D" w:rsidP="0097565D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ฝึกอบรมสัมมนาและทัศนะศึกษาดูงาน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เพื่อเพิ่มประสิทธิภาพในการให้บริการด้านสารสนเทศและการสื่อสาร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1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0" w:type="dxa"/>
          </w:tcPr>
          <w:p w:rsidR="0097565D" w:rsidRDefault="0097565D" w:rsidP="009756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1985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จัดอบรม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สัมมนาและ/หรือทัศนะศึกษาดูงานให้กับบุคลากร ปีละ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2126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จัดอบรม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สัมมนาและ/หรือทัศนะศึกษาดูงานให้กับบุคลากร ปีละ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2268" w:type="dxa"/>
          </w:tcPr>
          <w:p w:rsidR="0097565D" w:rsidRDefault="0097565D" w:rsidP="00975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จัดอบรม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สัมมนาและ/หรือทัศนะศึกษาดูงานให้กับบุคลากร ปีละ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97565D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97565D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7565D" w:rsidRPr="00373831" w:rsidTr="00A547A8">
        <w:trPr>
          <w:trHeight w:val="436"/>
        </w:trPr>
        <w:tc>
          <w:tcPr>
            <w:tcW w:w="704" w:type="dxa"/>
            <w:noWrap/>
          </w:tcPr>
          <w:p w:rsidR="0097565D" w:rsidRDefault="0097565D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97565D" w:rsidRPr="00550B5E" w:rsidRDefault="0097565D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7565D" w:rsidRPr="00373831" w:rsidRDefault="0097565D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7565D" w:rsidRPr="00373831" w:rsidRDefault="0097565D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4373880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  <w:bookmarkStart w:id="0" w:name="_GoBack"/>
      <w:bookmarkEnd w:id="0"/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64" w:rsidRDefault="00F64A64" w:rsidP="00C025F0">
      <w:pPr>
        <w:spacing w:after="0" w:line="240" w:lineRule="auto"/>
      </w:pPr>
      <w:r>
        <w:separator/>
      </w:r>
    </w:p>
  </w:endnote>
  <w:endnote w:type="continuationSeparator" w:id="0">
    <w:p w:rsidR="00F64A64" w:rsidRDefault="00F64A64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57340E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57340E">
      <w:rPr>
        <w:rFonts w:ascii="TH SarabunPSK" w:hAnsi="TH SarabunPSK" w:cs="TH SarabunPSK"/>
        <w:b/>
        <w:bCs/>
        <w:color w:val="FF0000"/>
        <w:cs/>
      </w:rPr>
      <w:tab/>
      <w:t xml:space="preserve">หมายเหตุ </w:t>
    </w:r>
    <w:r w:rsidRPr="0057340E">
      <w:rPr>
        <w:rFonts w:ascii="TH SarabunPSK" w:hAnsi="TH SarabunPSK" w:cs="TH SarabunPSK"/>
        <w:b/>
        <w:bCs/>
        <w:color w:val="FF0000"/>
      </w:rPr>
      <w:t xml:space="preserve">: </w:t>
    </w:r>
    <w:r w:rsidRPr="0057340E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57340E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57340E">
      <w:rPr>
        <w:rFonts w:ascii="TH SarabunPSK" w:hAnsi="TH SarabunPSK" w:cs="TH SarabunPSK"/>
        <w:b/>
        <w:bCs/>
        <w:color w:val="FF0000"/>
        <w:cs/>
      </w:rPr>
      <w:t>ข้อมูล</w:t>
    </w:r>
    <w:r w:rsidR="0057340E" w:rsidRPr="0057340E">
      <w:rPr>
        <w:rFonts w:ascii="TH SarabunPSK" w:hAnsi="TH SarabunPSK" w:cs="TH SarabunPSK" w:hint="cs"/>
        <w:b/>
        <w:bCs/>
        <w:color w:val="FF0000"/>
        <w:cs/>
      </w:rPr>
      <w:t>โปรด</w:t>
    </w:r>
    <w:r w:rsidRPr="0057340E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57340E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64" w:rsidRDefault="00F64A64" w:rsidP="00C025F0">
      <w:pPr>
        <w:spacing w:after="0" w:line="240" w:lineRule="auto"/>
      </w:pPr>
      <w:r>
        <w:separator/>
      </w:r>
    </w:p>
  </w:footnote>
  <w:footnote w:type="continuationSeparator" w:id="0">
    <w:p w:rsidR="00F64A64" w:rsidRDefault="00F64A64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F64A64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61FF0"/>
    <w:rsid w:val="00564392"/>
    <w:rsid w:val="0057340E"/>
    <w:rsid w:val="00573B5D"/>
    <w:rsid w:val="005929C9"/>
    <w:rsid w:val="005A1661"/>
    <w:rsid w:val="005B0395"/>
    <w:rsid w:val="005B1472"/>
    <w:rsid w:val="005F7445"/>
    <w:rsid w:val="00643870"/>
    <w:rsid w:val="006472B8"/>
    <w:rsid w:val="00663E00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7565D"/>
    <w:rsid w:val="00985E7D"/>
    <w:rsid w:val="009A0B9F"/>
    <w:rsid w:val="009A17F4"/>
    <w:rsid w:val="009A7431"/>
    <w:rsid w:val="009B22EB"/>
    <w:rsid w:val="009B38C6"/>
    <w:rsid w:val="009C2655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92891"/>
    <w:rsid w:val="00E95BE9"/>
    <w:rsid w:val="00EB7DE8"/>
    <w:rsid w:val="00EE5E95"/>
    <w:rsid w:val="00F01FD6"/>
    <w:rsid w:val="00F106E9"/>
    <w:rsid w:val="00F15596"/>
    <w:rsid w:val="00F363F5"/>
    <w:rsid w:val="00F64A64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3837-E268-4733-B84A-264063A5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4</cp:revision>
  <cp:lastPrinted>2018-12-26T09:33:00Z</cp:lastPrinted>
  <dcterms:created xsi:type="dcterms:W3CDTF">2018-12-26T08:23:00Z</dcterms:created>
  <dcterms:modified xsi:type="dcterms:W3CDTF">2018-12-26T09:35:00Z</dcterms:modified>
</cp:coreProperties>
</file>